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E6" w:rsidRPr="00517C57" w:rsidRDefault="00B06152" w:rsidP="00EE2909">
      <w:pPr>
        <w:tabs>
          <w:tab w:val="right" w:pos="9639"/>
        </w:tabs>
        <w:spacing w:after="0"/>
        <w:rPr>
          <w:rFonts w:ascii="Arial Narrow" w:hAnsi="Arial Narrow"/>
          <w:lang w:val="ru-RU"/>
        </w:rPr>
      </w:pPr>
      <w:r w:rsidRPr="00B06152">
        <w:rPr>
          <w:rFonts w:ascii="Arial Narrow" w:hAnsi="Arial Narrow"/>
          <w:lang w:val="ru-RU"/>
        </w:rPr>
        <w:t xml:space="preserve"> </w:t>
      </w:r>
      <w:r w:rsidR="00EE2909" w:rsidRPr="00517C57">
        <w:rPr>
          <w:rFonts w:ascii="Arial Narrow" w:hAnsi="Arial Narrow"/>
          <w:lang w:val="ru-RU"/>
        </w:rPr>
        <w:tab/>
      </w:r>
      <w:r w:rsidR="00EE2909" w:rsidRPr="00517C57">
        <w:rPr>
          <w:rFonts w:ascii="Arial Narrow" w:hAnsi="Arial Narrow"/>
          <w:noProof/>
          <w:lang w:val="ru-RU" w:eastAsia="ru-RU"/>
        </w:rPr>
        <w:drawing>
          <wp:inline distT="0" distB="0" distL="0" distR="0">
            <wp:extent cx="1520919" cy="431597"/>
            <wp:effectExtent l="19050" t="0" r="308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19" cy="43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3A6" w:rsidRPr="00517C57" w:rsidRDefault="004413A6" w:rsidP="004413A6">
      <w:pPr>
        <w:spacing w:after="0"/>
        <w:rPr>
          <w:rFonts w:ascii="Arial Narrow" w:hAnsi="Arial Narrow" w:cs="Aharoni"/>
          <w:sz w:val="28"/>
          <w:szCs w:val="28"/>
          <w:lang w:val="ru-RU"/>
        </w:rPr>
      </w:pPr>
    </w:p>
    <w:p w:rsidR="004413A6" w:rsidRPr="00517C57" w:rsidRDefault="004413A6" w:rsidP="004413A6">
      <w:pPr>
        <w:spacing w:after="0"/>
        <w:jc w:val="center"/>
        <w:rPr>
          <w:rFonts w:ascii="Arial Narrow" w:hAnsi="Arial Narrow" w:cs="Aharoni"/>
          <w:sz w:val="28"/>
          <w:szCs w:val="28"/>
          <w:lang w:val="ru-RU"/>
        </w:rPr>
      </w:pPr>
    </w:p>
    <w:p w:rsidR="004413A6" w:rsidRPr="00517C57" w:rsidRDefault="00EE2909" w:rsidP="004413A6">
      <w:pPr>
        <w:spacing w:after="0"/>
        <w:jc w:val="center"/>
        <w:rPr>
          <w:rFonts w:ascii="Arial Narrow" w:hAnsi="Arial Narrow" w:cs="Aharoni"/>
          <w:b/>
          <w:sz w:val="32"/>
          <w:szCs w:val="32"/>
          <w:lang w:val="ru-RU"/>
        </w:rPr>
      </w:pPr>
      <w:r w:rsidRPr="00517C57">
        <w:rPr>
          <w:rFonts w:ascii="Arial Narrow" w:hAnsi="Arial Narrow" w:cs="Aharoni"/>
          <w:b/>
          <w:sz w:val="32"/>
          <w:szCs w:val="32"/>
          <w:lang w:val="ru-RU"/>
        </w:rPr>
        <w:t>П</w:t>
      </w:r>
      <w:r w:rsidR="004413A6" w:rsidRPr="00517C57">
        <w:rPr>
          <w:rFonts w:ascii="Arial Narrow" w:hAnsi="Arial Narrow" w:cs="Aharoni"/>
          <w:b/>
          <w:sz w:val="32"/>
          <w:szCs w:val="32"/>
          <w:lang w:val="ru-RU"/>
        </w:rPr>
        <w:t>роизводственны</w:t>
      </w:r>
      <w:r w:rsidRPr="00517C57">
        <w:rPr>
          <w:rFonts w:ascii="Arial Narrow" w:hAnsi="Arial Narrow" w:cs="Aharoni"/>
          <w:b/>
          <w:sz w:val="32"/>
          <w:szCs w:val="32"/>
          <w:lang w:val="ru-RU"/>
        </w:rPr>
        <w:t>е</w:t>
      </w:r>
      <w:r w:rsidR="004413A6" w:rsidRPr="00517C57">
        <w:rPr>
          <w:rFonts w:ascii="Arial Narrow" w:hAnsi="Arial Narrow" w:cs="Aharoni"/>
          <w:b/>
          <w:sz w:val="32"/>
          <w:szCs w:val="32"/>
          <w:lang w:val="ru-RU"/>
        </w:rPr>
        <w:t xml:space="preserve"> показател</w:t>
      </w:r>
      <w:proofErr w:type="gramStart"/>
      <w:r w:rsidRPr="00517C57">
        <w:rPr>
          <w:rFonts w:ascii="Arial Narrow" w:hAnsi="Arial Narrow" w:cs="Aharoni"/>
          <w:b/>
          <w:sz w:val="32"/>
          <w:szCs w:val="32"/>
          <w:lang w:val="ru-RU"/>
        </w:rPr>
        <w:t>и</w:t>
      </w:r>
      <w:r w:rsidR="0070715B">
        <w:rPr>
          <w:rFonts w:ascii="Arial Narrow" w:hAnsi="Arial Narrow" w:cs="Aharoni"/>
          <w:b/>
          <w:sz w:val="32"/>
          <w:szCs w:val="32"/>
          <w:lang w:val="ru-RU"/>
        </w:rPr>
        <w:t xml:space="preserve"> ООО</w:t>
      </w:r>
      <w:proofErr w:type="gramEnd"/>
      <w:r w:rsidR="0070715B">
        <w:rPr>
          <w:rFonts w:ascii="Arial Narrow" w:hAnsi="Arial Narrow" w:cs="Aharoni"/>
          <w:b/>
          <w:sz w:val="32"/>
          <w:szCs w:val="32"/>
          <w:lang w:val="ru-RU"/>
        </w:rPr>
        <w:t xml:space="preserve"> «</w:t>
      </w:r>
      <w:proofErr w:type="spellStart"/>
      <w:r w:rsidR="0070715B">
        <w:rPr>
          <w:rFonts w:ascii="Arial Narrow" w:hAnsi="Arial Narrow" w:cs="Aharoni"/>
          <w:b/>
          <w:sz w:val="32"/>
          <w:szCs w:val="32"/>
          <w:lang w:val="ru-RU"/>
        </w:rPr>
        <w:t>Еристовский</w:t>
      </w:r>
      <w:proofErr w:type="spellEnd"/>
      <w:r w:rsidR="0070715B">
        <w:rPr>
          <w:rFonts w:ascii="Arial Narrow" w:hAnsi="Arial Narrow" w:cs="Aharoni"/>
          <w:b/>
          <w:sz w:val="32"/>
          <w:szCs w:val="32"/>
          <w:lang w:val="ru-RU"/>
        </w:rPr>
        <w:t xml:space="preserve"> ГОК»</w:t>
      </w:r>
      <w:r w:rsidR="0070715B">
        <w:rPr>
          <w:rFonts w:ascii="Arial Narrow" w:hAnsi="Arial Narrow" w:cs="Aharoni"/>
          <w:b/>
          <w:sz w:val="32"/>
          <w:szCs w:val="32"/>
          <w:lang w:val="ru-RU"/>
        </w:rPr>
        <w:br/>
      </w:r>
      <w:r w:rsidR="00B06152" w:rsidRPr="00B06152">
        <w:rPr>
          <w:rFonts w:ascii="Arial Narrow" w:hAnsi="Arial Narrow" w:cs="Aharoni"/>
          <w:b/>
          <w:sz w:val="32"/>
          <w:szCs w:val="32"/>
          <w:lang w:val="ru-RU"/>
        </w:rPr>
        <w:t>1</w:t>
      </w:r>
      <w:r w:rsidR="004413A6" w:rsidRPr="00517C57">
        <w:rPr>
          <w:rFonts w:ascii="Arial Narrow" w:hAnsi="Arial Narrow" w:cs="Aharoni"/>
          <w:b/>
          <w:sz w:val="32"/>
          <w:szCs w:val="32"/>
          <w:lang w:val="ru-RU"/>
        </w:rPr>
        <w:t xml:space="preserve"> кв. 201</w:t>
      </w:r>
      <w:r w:rsidR="00303701" w:rsidRPr="00303701">
        <w:rPr>
          <w:rFonts w:ascii="Arial Narrow" w:hAnsi="Arial Narrow" w:cs="Aharoni"/>
          <w:b/>
          <w:sz w:val="32"/>
          <w:szCs w:val="32"/>
          <w:lang w:val="ru-RU"/>
        </w:rPr>
        <w:t>8</w:t>
      </w:r>
      <w:r w:rsidR="004413A6" w:rsidRPr="00517C57">
        <w:rPr>
          <w:rFonts w:ascii="Arial Narrow" w:hAnsi="Arial Narrow" w:cs="Aharoni"/>
          <w:b/>
          <w:sz w:val="32"/>
          <w:szCs w:val="32"/>
          <w:lang w:val="ru-RU"/>
        </w:rPr>
        <w:t xml:space="preserve"> года</w:t>
      </w:r>
    </w:p>
    <w:p w:rsidR="004413A6" w:rsidRDefault="004413A6" w:rsidP="004413A6">
      <w:pPr>
        <w:spacing w:after="0"/>
        <w:jc w:val="both"/>
        <w:rPr>
          <w:rFonts w:ascii="Arial Narrow" w:hAnsi="Arial Narrow" w:cs="Aharoni"/>
          <w:sz w:val="28"/>
          <w:szCs w:val="28"/>
          <w:lang w:val="ru-RU"/>
        </w:rPr>
      </w:pPr>
    </w:p>
    <w:tbl>
      <w:tblPr>
        <w:tblW w:w="9639" w:type="dxa"/>
        <w:tblInd w:w="108" w:type="dxa"/>
        <w:tblLook w:val="04A0"/>
      </w:tblPr>
      <w:tblGrid>
        <w:gridCol w:w="2528"/>
        <w:gridCol w:w="1185"/>
        <w:gridCol w:w="1185"/>
        <w:gridCol w:w="1185"/>
        <w:gridCol w:w="1185"/>
        <w:gridCol w:w="1185"/>
        <w:gridCol w:w="1186"/>
      </w:tblGrid>
      <w:tr w:rsidR="005977E5" w:rsidRPr="005977E5" w:rsidTr="005977E5">
        <w:trPr>
          <w:trHeight w:val="315"/>
        </w:trPr>
        <w:tc>
          <w:tcPr>
            <w:tcW w:w="25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Производство / реализация, тыс</w:t>
            </w:r>
            <w:proofErr w:type="gramStart"/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.т</w:t>
            </w:r>
            <w:proofErr w:type="gramEnd"/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4-й кв. 2017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1-й кв. 2018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Откл</w:t>
            </w:r>
            <w:proofErr w:type="spellEnd"/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1-й кв. 2017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1-й кв. 2018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Откл</w:t>
            </w:r>
            <w:proofErr w:type="spellEnd"/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5977E5" w:rsidRPr="005977E5" w:rsidTr="005977E5">
        <w:trPr>
          <w:trHeight w:val="315"/>
        </w:trPr>
        <w:tc>
          <w:tcPr>
            <w:tcW w:w="25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1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5977E5" w:rsidRPr="005977E5" w:rsidTr="005977E5">
        <w:trPr>
          <w:trHeight w:val="270"/>
        </w:trPr>
        <w:tc>
          <w:tcPr>
            <w:tcW w:w="25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5977E5" w:rsidRPr="005977E5" w:rsidTr="005977E5">
        <w:trPr>
          <w:trHeight w:val="180"/>
        </w:trPr>
        <w:tc>
          <w:tcPr>
            <w:tcW w:w="25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5977E5" w:rsidRPr="005977E5" w:rsidTr="005977E5">
        <w:trPr>
          <w:trHeight w:val="315"/>
        </w:trPr>
        <w:tc>
          <w:tcPr>
            <w:tcW w:w="25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Вскрышные работы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6 045,2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5 912,1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-2,2%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6 405,7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5 912,1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-7,7%</w:t>
            </w:r>
          </w:p>
        </w:tc>
      </w:tr>
      <w:tr w:rsidR="005977E5" w:rsidRPr="005977E5" w:rsidTr="005977E5">
        <w:trPr>
          <w:trHeight w:val="180"/>
        </w:trPr>
        <w:tc>
          <w:tcPr>
            <w:tcW w:w="25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5977E5" w:rsidRPr="005977E5" w:rsidTr="005977E5">
        <w:trPr>
          <w:trHeight w:val="315"/>
        </w:trPr>
        <w:tc>
          <w:tcPr>
            <w:tcW w:w="25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Добыча руды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2 754,8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2 981,1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8,2%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3 270,0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2 981,1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-8,8%</w:t>
            </w:r>
          </w:p>
        </w:tc>
      </w:tr>
      <w:tr w:rsidR="005977E5" w:rsidRPr="005977E5" w:rsidTr="005977E5">
        <w:trPr>
          <w:trHeight w:val="180"/>
        </w:trPr>
        <w:tc>
          <w:tcPr>
            <w:tcW w:w="25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5977E5" w:rsidRPr="005977E5" w:rsidTr="005977E5">
        <w:trPr>
          <w:trHeight w:val="315"/>
        </w:trPr>
        <w:tc>
          <w:tcPr>
            <w:tcW w:w="25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Всего добыча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8 800,0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8 893,2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1,1%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9 675,7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8 893,2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-8,1%</w:t>
            </w:r>
          </w:p>
        </w:tc>
      </w:tr>
      <w:tr w:rsidR="005977E5" w:rsidRPr="005977E5" w:rsidTr="005977E5">
        <w:trPr>
          <w:trHeight w:val="180"/>
        </w:trPr>
        <w:tc>
          <w:tcPr>
            <w:tcW w:w="25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5977E5" w:rsidRPr="005977E5" w:rsidTr="005977E5">
        <w:trPr>
          <w:trHeight w:val="285"/>
        </w:trPr>
        <w:tc>
          <w:tcPr>
            <w:tcW w:w="25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5977E5" w:rsidRPr="005977E5" w:rsidTr="005977E5">
        <w:trPr>
          <w:trHeight w:val="180"/>
        </w:trPr>
        <w:tc>
          <w:tcPr>
            <w:tcW w:w="25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5977E5" w:rsidRPr="005977E5" w:rsidTr="005977E5">
        <w:trPr>
          <w:trHeight w:val="315"/>
        </w:trPr>
        <w:tc>
          <w:tcPr>
            <w:tcW w:w="25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Реализация руды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1 389,6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532,4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-61,7%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2 295,8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532,4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-76,8%</w:t>
            </w:r>
          </w:p>
        </w:tc>
      </w:tr>
      <w:tr w:rsidR="005977E5" w:rsidRPr="005977E5" w:rsidTr="005977E5">
        <w:trPr>
          <w:trHeight w:val="180"/>
        </w:trPr>
        <w:tc>
          <w:tcPr>
            <w:tcW w:w="25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5977E5" w:rsidRPr="005977E5" w:rsidTr="005977E5">
        <w:trPr>
          <w:trHeight w:val="315"/>
        </w:trPr>
        <w:tc>
          <w:tcPr>
            <w:tcW w:w="25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Реализация концентрата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977E5" w:rsidRPr="005977E5" w:rsidTr="005977E5">
        <w:trPr>
          <w:trHeight w:val="180"/>
        </w:trPr>
        <w:tc>
          <w:tcPr>
            <w:tcW w:w="25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5977E5" w:rsidRPr="005977E5" w:rsidTr="005977E5">
        <w:trPr>
          <w:trHeight w:val="315"/>
        </w:trPr>
        <w:tc>
          <w:tcPr>
            <w:tcW w:w="25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Реализация окатышей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799,1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671,9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-15,9%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314,6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671,9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113,6%</w:t>
            </w:r>
          </w:p>
        </w:tc>
      </w:tr>
      <w:tr w:rsidR="005977E5" w:rsidRPr="005977E5" w:rsidTr="005977E5">
        <w:trPr>
          <w:trHeight w:val="180"/>
        </w:trPr>
        <w:tc>
          <w:tcPr>
            <w:tcW w:w="25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433774" w:rsidRDefault="00433774" w:rsidP="004413A6">
      <w:pPr>
        <w:spacing w:after="0"/>
        <w:jc w:val="both"/>
        <w:rPr>
          <w:rFonts w:ascii="Arial Narrow" w:hAnsi="Arial Narrow" w:cs="Aharoni"/>
          <w:sz w:val="28"/>
          <w:szCs w:val="28"/>
          <w:lang w:val="en-US"/>
        </w:rPr>
      </w:pPr>
    </w:p>
    <w:p w:rsidR="007F0A49" w:rsidRDefault="007F0A49" w:rsidP="004413A6">
      <w:pPr>
        <w:spacing w:after="0"/>
        <w:jc w:val="both"/>
        <w:rPr>
          <w:rFonts w:ascii="Arial Narrow" w:hAnsi="Arial Narrow" w:cs="Aharoni"/>
          <w:sz w:val="28"/>
          <w:szCs w:val="28"/>
          <w:lang w:val="ru-RU"/>
        </w:rPr>
      </w:pPr>
      <w:r>
        <w:rPr>
          <w:rFonts w:ascii="Arial Narrow" w:hAnsi="Arial Narrow" w:cs="Aharoni"/>
          <w:sz w:val="28"/>
          <w:szCs w:val="28"/>
          <w:lang w:val="ru-RU"/>
        </w:rPr>
        <w:t>Динамика показателей добычи и реализации</w:t>
      </w:r>
    </w:p>
    <w:p w:rsidR="004413A6" w:rsidRPr="00EE2909" w:rsidRDefault="005977E5" w:rsidP="004413A6">
      <w:pPr>
        <w:spacing w:after="0"/>
        <w:jc w:val="both"/>
        <w:rPr>
          <w:rFonts w:ascii="Arial Narrow" w:hAnsi="Arial Narrow" w:cs="Aharoni"/>
          <w:sz w:val="28"/>
          <w:szCs w:val="28"/>
          <w:lang w:val="ru-RU"/>
        </w:rPr>
      </w:pPr>
      <w:r w:rsidRPr="005977E5">
        <w:rPr>
          <w:rFonts w:ascii="Arial Narrow" w:hAnsi="Arial Narrow" w:cs="Aharoni"/>
          <w:noProof/>
          <w:sz w:val="28"/>
          <w:szCs w:val="28"/>
          <w:lang w:val="ru-RU" w:eastAsia="ru-RU"/>
        </w:rPr>
        <w:drawing>
          <wp:inline distT="0" distB="0" distL="0" distR="0">
            <wp:extent cx="6120765" cy="3629025"/>
            <wp:effectExtent l="19050" t="0" r="1333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4413A6" w:rsidRPr="00EE2909" w:rsidSect="00C972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13A6"/>
    <w:rsid w:val="000139E5"/>
    <w:rsid w:val="0005515A"/>
    <w:rsid w:val="00086888"/>
    <w:rsid w:val="00181742"/>
    <w:rsid w:val="00181EC8"/>
    <w:rsid w:val="0018414D"/>
    <w:rsid w:val="001C3782"/>
    <w:rsid w:val="001F418B"/>
    <w:rsid w:val="002147E3"/>
    <w:rsid w:val="00267617"/>
    <w:rsid w:val="00287893"/>
    <w:rsid w:val="00303701"/>
    <w:rsid w:val="0034288C"/>
    <w:rsid w:val="003D6574"/>
    <w:rsid w:val="003E6287"/>
    <w:rsid w:val="003F1B25"/>
    <w:rsid w:val="00420275"/>
    <w:rsid w:val="004330F4"/>
    <w:rsid w:val="00433774"/>
    <w:rsid w:val="004413A6"/>
    <w:rsid w:val="00477C31"/>
    <w:rsid w:val="004B720A"/>
    <w:rsid w:val="004D723E"/>
    <w:rsid w:val="00515AA9"/>
    <w:rsid w:val="00517C57"/>
    <w:rsid w:val="00553AA6"/>
    <w:rsid w:val="005977E5"/>
    <w:rsid w:val="005D3F1F"/>
    <w:rsid w:val="00621FB1"/>
    <w:rsid w:val="006221FB"/>
    <w:rsid w:val="006566DE"/>
    <w:rsid w:val="00660883"/>
    <w:rsid w:val="006628AB"/>
    <w:rsid w:val="006A42FE"/>
    <w:rsid w:val="006B7202"/>
    <w:rsid w:val="006C202E"/>
    <w:rsid w:val="0070715B"/>
    <w:rsid w:val="00777183"/>
    <w:rsid w:val="007F0A49"/>
    <w:rsid w:val="00820A48"/>
    <w:rsid w:val="008445B1"/>
    <w:rsid w:val="00867E3E"/>
    <w:rsid w:val="008779A3"/>
    <w:rsid w:val="008A57F3"/>
    <w:rsid w:val="008B42BD"/>
    <w:rsid w:val="00970795"/>
    <w:rsid w:val="00970D0A"/>
    <w:rsid w:val="00A01E11"/>
    <w:rsid w:val="00A14B96"/>
    <w:rsid w:val="00AA5357"/>
    <w:rsid w:val="00B06152"/>
    <w:rsid w:val="00B41902"/>
    <w:rsid w:val="00C27D95"/>
    <w:rsid w:val="00C972E6"/>
    <w:rsid w:val="00CC333D"/>
    <w:rsid w:val="00CD35B7"/>
    <w:rsid w:val="00CD7BB3"/>
    <w:rsid w:val="00D94E45"/>
    <w:rsid w:val="00DB7FB0"/>
    <w:rsid w:val="00DF3FEF"/>
    <w:rsid w:val="00E26ABA"/>
    <w:rsid w:val="00EE2909"/>
    <w:rsid w:val="00EF0625"/>
    <w:rsid w:val="00F561C6"/>
    <w:rsid w:val="00F86430"/>
    <w:rsid w:val="00FA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3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42;&#1089;&#1103;&#1082;&#1086;&#1077;-&#1088;&#1072;&#1079;&#1085;&#1086;&#1077;\&#1057;&#1072;&#1081;&#1090;\&#1058;&#1072;&#1073;&#1083;&#1080;&#1094;&#1099;%20&#1087;&#1086;%20&#1086;&#1073;&#1098;&#1077;&#1084;&#1072;&#1084;%20&#1076;&#1083;&#1103;%20&#1089;&#1072;&#1081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1509803104677379E-2"/>
          <c:y val="3.6461476798158851E-2"/>
          <c:w val="0.88264048693259756"/>
          <c:h val="0.88126708299393097"/>
        </c:manualLayout>
      </c:layout>
      <c:barChart>
        <c:barDir val="col"/>
        <c:grouping val="stacked"/>
        <c:ser>
          <c:idx val="0"/>
          <c:order val="0"/>
          <c:tx>
            <c:strRef>
              <c:f>'3M2018'!$B$32</c:f>
              <c:strCache>
                <c:ptCount val="1"/>
                <c:pt idx="0">
                  <c:v>Добыча руды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numFmt formatCode="#,##0.0" sourceLinked="0"/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'3M2018'!$C$24:$N$24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3 мес. 2018</c:v>
                </c:pt>
              </c:strCache>
            </c:strRef>
          </c:cat>
          <c:val>
            <c:numRef>
              <c:f>'3M2018'!$C$32:$N$32</c:f>
              <c:numCache>
                <c:formatCode>#,##0.0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1.1406749999999999</c:v>
                </c:pt>
                <c:pt idx="6">
                  <c:v>7.8635128799999903</c:v>
                </c:pt>
                <c:pt idx="7">
                  <c:v>12.302205000000002</c:v>
                </c:pt>
                <c:pt idx="8">
                  <c:v>14.011635000000002</c:v>
                </c:pt>
                <c:pt idx="9">
                  <c:v>13.103390000000001</c:v>
                </c:pt>
                <c:pt idx="10">
                  <c:v>11.567935</c:v>
                </c:pt>
                <c:pt idx="11">
                  <c:v>2.9810849999999998</c:v>
                </c:pt>
              </c:numCache>
            </c:numRef>
          </c:val>
        </c:ser>
        <c:ser>
          <c:idx val="1"/>
          <c:order val="1"/>
          <c:tx>
            <c:strRef>
              <c:f>'3M2018'!$B$33</c:f>
              <c:strCache>
                <c:ptCount val="1"/>
                <c:pt idx="0">
                  <c:v>Вскрышные работы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</c:spPr>
          <c:dLbls>
            <c:numFmt formatCode="#,##0.0" sourceLinked="0"/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'3M2018'!$C$24:$N$24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3 мес. 2018</c:v>
                </c:pt>
              </c:strCache>
            </c:strRef>
          </c:cat>
          <c:val>
            <c:numRef>
              <c:f>'3M2018'!$C$33:$N$33</c:f>
              <c:numCache>
                <c:formatCode>#,##0.0</c:formatCode>
                <c:ptCount val="12"/>
                <c:pt idx="0">
                  <c:v>1.7511120000000002</c:v>
                </c:pt>
                <c:pt idx="1">
                  <c:v>3.2089860000000012</c:v>
                </c:pt>
                <c:pt idx="2">
                  <c:v>8.0629560000000087</c:v>
                </c:pt>
                <c:pt idx="3">
                  <c:v>9.2004050000000017</c:v>
                </c:pt>
                <c:pt idx="4">
                  <c:v>30.437538</c:v>
                </c:pt>
                <c:pt idx="5">
                  <c:v>39.189500000000002</c:v>
                </c:pt>
                <c:pt idx="6">
                  <c:v>39.462421419999998</c:v>
                </c:pt>
                <c:pt idx="7">
                  <c:v>40.035719000000036</c:v>
                </c:pt>
                <c:pt idx="8">
                  <c:v>25.539455000000018</c:v>
                </c:pt>
                <c:pt idx="9">
                  <c:v>16.661597</c:v>
                </c:pt>
                <c:pt idx="10">
                  <c:v>31.624929999999999</c:v>
                </c:pt>
                <c:pt idx="11">
                  <c:v>5.9120740000000005</c:v>
                </c:pt>
              </c:numCache>
            </c:numRef>
          </c:val>
        </c:ser>
        <c:gapWidth val="90"/>
        <c:overlap val="100"/>
        <c:axId val="131873024"/>
        <c:axId val="131883008"/>
      </c:barChart>
      <c:lineChart>
        <c:grouping val="standard"/>
        <c:ser>
          <c:idx val="4"/>
          <c:order val="2"/>
          <c:tx>
            <c:strRef>
              <c:f>'3M2018'!$B$35</c:f>
              <c:strCache>
                <c:ptCount val="1"/>
                <c:pt idx="0">
                  <c:v>Реализация руды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circle"/>
            <c:size val="7"/>
            <c:spPr>
              <a:solidFill>
                <a:srgbClr val="C00000"/>
              </a:solidFill>
            </c:spPr>
          </c:marker>
          <c:dPt>
            <c:idx val="0"/>
            <c:marker>
              <c:symbol val="none"/>
            </c:marker>
            <c:spPr>
              <a:ln>
                <a:noFill/>
              </a:ln>
            </c:spPr>
          </c:dPt>
          <c:dPt>
            <c:idx val="1"/>
            <c:marker>
              <c:symbol val="none"/>
            </c:marker>
            <c:spPr>
              <a:ln>
                <a:noFill/>
              </a:ln>
            </c:spPr>
          </c:dPt>
          <c:dPt>
            <c:idx val="2"/>
            <c:marker>
              <c:symbol val="none"/>
            </c:marker>
            <c:spPr>
              <a:ln>
                <a:noFill/>
              </a:ln>
            </c:spPr>
          </c:dPt>
          <c:dPt>
            <c:idx val="3"/>
            <c:marker>
              <c:symbol val="none"/>
            </c:marker>
            <c:spPr>
              <a:ln>
                <a:noFill/>
              </a:ln>
            </c:spPr>
          </c:dPt>
          <c:dPt>
            <c:idx val="4"/>
            <c:marker>
              <c:symbol val="none"/>
            </c:marker>
            <c:spPr>
              <a:ln>
                <a:noFill/>
              </a:ln>
            </c:spPr>
          </c:dPt>
          <c:dPt>
            <c:idx val="5"/>
            <c:spPr>
              <a:ln>
                <a:noFill/>
              </a:ln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11"/>
              <c:layout>
                <c:manualLayout>
                  <c:x val="7.119814080519183E-4"/>
                  <c:y val="-6.1823306569437457E-3"/>
                </c:manualLayout>
              </c:layout>
              <c:dLblPos val="r"/>
              <c:showVal val="1"/>
            </c:dLbl>
            <c:numFmt formatCode="#,##0.0" sourceLinked="0"/>
            <c:txPr>
              <a:bodyPr/>
              <a:lstStyle/>
              <a:p>
                <a:pPr>
                  <a:defRPr sz="800">
                    <a:solidFill>
                      <a:srgbClr val="C00000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val>
            <c:numRef>
              <c:f>'3M2018'!$C$35:$N$35</c:f>
              <c:numCache>
                <c:formatCode>#,##0.0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0.39483100000000032</c:v>
                </c:pt>
                <c:pt idx="6">
                  <c:v>6.5863282000000014</c:v>
                </c:pt>
                <c:pt idx="7">
                  <c:v>9.2550311000000001</c:v>
                </c:pt>
                <c:pt idx="8">
                  <c:v>14.221194300000001</c:v>
                </c:pt>
                <c:pt idx="9">
                  <c:v>12.5701103</c:v>
                </c:pt>
                <c:pt idx="10">
                  <c:v>4.3667278999999954</c:v>
                </c:pt>
                <c:pt idx="11">
                  <c:v>0.53241599999999956</c:v>
                </c:pt>
              </c:numCache>
            </c:numRef>
          </c:val>
        </c:ser>
        <c:ser>
          <c:idx val="2"/>
          <c:order val="3"/>
          <c:tx>
            <c:strRef>
              <c:f>'3M2018'!$B$38</c:f>
              <c:strCache>
                <c:ptCount val="1"/>
                <c:pt idx="0">
                  <c:v>Реализация концентрата и окатышей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marker>
            <c:symbol val="circle"/>
            <c:size val="7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2">
                    <a:lumMod val="50000"/>
                  </a:schemeClr>
                </a:solidFill>
              </a:ln>
            </c:spPr>
          </c:marker>
          <c:dPt>
            <c:idx val="0"/>
            <c:marker>
              <c:symbol val="none"/>
            </c:marker>
            <c:spPr>
              <a:ln>
                <a:noFill/>
              </a:ln>
            </c:spPr>
          </c:dPt>
          <c:dPt>
            <c:idx val="1"/>
            <c:marker>
              <c:spPr>
                <a:noFill/>
                <a:ln>
                  <a:noFill/>
                </a:ln>
              </c:spPr>
            </c:marker>
            <c:spPr>
              <a:ln>
                <a:noFill/>
              </a:ln>
            </c:spPr>
          </c:dPt>
          <c:dPt>
            <c:idx val="2"/>
            <c:marker>
              <c:symbol val="none"/>
            </c:marker>
            <c:spPr>
              <a:ln>
                <a:noFill/>
              </a:ln>
            </c:spPr>
          </c:dPt>
          <c:dPt>
            <c:idx val="3"/>
            <c:marker>
              <c:symbol val="none"/>
            </c:marker>
            <c:spPr>
              <a:ln>
                <a:noFill/>
              </a:ln>
            </c:spPr>
          </c:dPt>
          <c:dPt>
            <c:idx val="4"/>
            <c:marker>
              <c:symbol val="none"/>
            </c:marker>
            <c:spPr>
              <a:ln>
                <a:noFill/>
              </a:ln>
            </c:spPr>
          </c:dPt>
          <c:dPt>
            <c:idx val="5"/>
            <c:marker>
              <c:symbol val="none"/>
            </c:marker>
            <c:spPr>
              <a:ln>
                <a:noFill/>
              </a:ln>
            </c:spPr>
          </c:dPt>
          <c:dPt>
            <c:idx val="6"/>
            <c:marker>
              <c:symbol val="none"/>
            </c:marker>
            <c:spPr>
              <a:ln>
                <a:noFill/>
              </a:ln>
            </c:spPr>
          </c:dPt>
          <c:dPt>
            <c:idx val="7"/>
            <c:marker>
              <c:symbol val="none"/>
            </c:marker>
            <c:spPr>
              <a:ln>
                <a:noFill/>
              </a:ln>
            </c:spPr>
          </c:dPt>
          <c:dPt>
            <c:idx val="8"/>
            <c:spPr>
              <a:ln>
                <a:noFill/>
              </a:ln>
            </c:spPr>
          </c:dPt>
          <c:dLbls>
            <c:dLbl>
              <c:idx val="8"/>
              <c:layout>
                <c:manualLayout>
                  <c:x val="-3.1848679151265467E-3"/>
                  <c:y val="-1.9704433497537085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3.1849360118766921E-3"/>
                  <c:y val="-2.9556650246305258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0"/>
                  <c:y val="2.2988505747126596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1.2528266902198089E-7"/>
                  <c:y val="-3.6124794745484398E-2"/>
                </c:manualLayout>
              </c:layout>
              <c:dLblPos val="r"/>
              <c:showVal val="1"/>
            </c:dLbl>
            <c:delete val="1"/>
            <c:txPr>
              <a:bodyPr/>
              <a:lstStyle/>
              <a:p>
                <a:pPr>
                  <a:defRPr sz="800">
                    <a:solidFill>
                      <a:schemeClr val="accent6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dLblPos val="r"/>
          </c:dLbls>
          <c:val>
            <c:numRef>
              <c:f>'3M2018'!$C$38:$N$38</c:f>
              <c:numCache>
                <c:formatCode>#,##0.0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4.0042000000000022E-2</c:v>
                </c:pt>
                <c:pt idx="9">
                  <c:v>0.27345041000000031</c:v>
                </c:pt>
                <c:pt idx="10">
                  <c:v>2.7087409510000002</c:v>
                </c:pt>
                <c:pt idx="11">
                  <c:v>0.67188010600000081</c:v>
                </c:pt>
              </c:numCache>
            </c:numRef>
          </c:val>
        </c:ser>
        <c:marker val="1"/>
        <c:axId val="131873024"/>
        <c:axId val="131883008"/>
      </c:lineChart>
      <c:catAx>
        <c:axId val="131873024"/>
        <c:scaling>
          <c:orientation val="minMax"/>
        </c:scaling>
        <c:axPos val="b"/>
        <c:numFmt formatCode="General" sourceLinked="1"/>
        <c:tickLblPos val="nextTo"/>
        <c:crossAx val="131883008"/>
        <c:crosses val="autoZero"/>
        <c:auto val="1"/>
        <c:lblAlgn val="ctr"/>
        <c:lblOffset val="100"/>
      </c:catAx>
      <c:valAx>
        <c:axId val="131883008"/>
        <c:scaling>
          <c:orientation val="minMax"/>
        </c:scaling>
        <c:axPos val="l"/>
        <c:majorGridlines/>
        <c:numFmt formatCode="#,##0.0" sourceLinked="1"/>
        <c:tickLblPos val="nextTo"/>
        <c:crossAx val="131873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7841527978937221E-2"/>
          <c:y val="5.337604452986687E-2"/>
          <c:w val="0.39979430675740735"/>
          <c:h val="0.23754237616849744"/>
        </c:manualLayout>
      </c:layout>
      <c:spPr>
        <a:solidFill>
          <a:schemeClr val="bg1"/>
        </a:solidFill>
      </c:spPr>
    </c:legend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0.00239</cdr:x>
      <cdr:y>0.3867</cdr:y>
    </cdr:from>
    <cdr:to>
      <cdr:x>0.03699</cdr:x>
      <cdr:y>0.56897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9050" y="1495426"/>
          <a:ext cx="276225" cy="704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square" rtlCol="0" anchor="ctr"/>
        <a:lstStyle xmlns:a="http://schemas.openxmlformats.org/drawingml/2006/main"/>
        <a:p xmlns:a="http://schemas.openxmlformats.org/drawingml/2006/main">
          <a:pPr algn="ctr"/>
          <a:r>
            <a:rPr lang="uk-UA" sz="1100"/>
            <a:t>млн.т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730DC-60D6-45AC-8EAD-CE9AC0FA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ek_lva</dc:creator>
  <cp:lastModifiedBy>lva</cp:lastModifiedBy>
  <cp:revision>8</cp:revision>
  <cp:lastPrinted>2015-09-17T07:10:00Z</cp:lastPrinted>
  <dcterms:created xsi:type="dcterms:W3CDTF">2019-02-13T06:18:00Z</dcterms:created>
  <dcterms:modified xsi:type="dcterms:W3CDTF">2019-02-13T06:42:00Z</dcterms:modified>
</cp:coreProperties>
</file>